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9A37DC">
      <w:pPr>
        <w:pStyle w:val="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14:paraId="3A608EF5">
      <w:pPr>
        <w:pStyle w:val="4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об итогах  летней оздоровительной кампании</w:t>
      </w:r>
    </w:p>
    <w:p w14:paraId="6EAB0818">
      <w:pPr>
        <w:pStyle w:val="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Среднеканском муниципальном округе в 2024 году</w:t>
      </w:r>
    </w:p>
    <w:p w14:paraId="1DF76E4E">
      <w:pPr>
        <w:pStyle w:val="4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Основными задачами по организации отдыха и оздоровления школьников являются обеспечение занятости учащихся в летние каникулы, создание условий для оздоровления, отдыха и личностного развития, профилактика беспризорности и безнадзорности, </w:t>
      </w:r>
      <w:r>
        <w:rPr>
          <w:rFonts w:hint="default" w:ascii="Times New Roman" w:hAnsi="Times New Roman" w:cs="Times New Roman"/>
          <w:sz w:val="28"/>
          <w:szCs w:val="28"/>
        </w:rPr>
        <w:t>вовлечение в общественно-полезную и досуговую деятельность</w:t>
      </w:r>
    </w:p>
    <w:p w14:paraId="4A3DAA79">
      <w:pPr>
        <w:pStyle w:val="4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Все лагеря включены в региональный реестр организаций отдыха и оздоровления и имеют санитарно-эпидемиологические заключения о соответствии требованиям санитарных норм и правил. В летний период были усилены меры по противопожарной и антитеррористической безопасности учреждений. Все лагеря были обеспечены медицинским обслуживанием сотрудниками Среднеканской районной больницы. Дети, находящиеся в лагерях, были в обязательном порядке застрахованы. При организации летней оздоровительной работы большое внимание уделялось кадровому обеспечению, методической работе и повышению квалификации организаторов отдыха, оздоровления и занятости детей и молодежи.</w:t>
      </w:r>
    </w:p>
    <w:p w14:paraId="10736305">
      <w:pPr>
        <w:pStyle w:val="4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 летний период 2024 года планировалась работа двух лагерей дневного пребывания на базе общеобразовательной организации с. Верхний Сеймчан и ЦДОД с охватом 198 несовершеннолетних. План в этом году перевыполнили, было охвачено летним отдыхом 216 детей и подростков в возрасте от 7 до 17 лет. Функционировали в лагерях 9 отрядов. </w:t>
      </w:r>
    </w:p>
    <w:p w14:paraId="35973AF8">
      <w:pPr>
        <w:pStyle w:val="4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С целью содействия занятости несовершеннолетних, социальной поддержки подростков, предупреждения детской безнадзорности были организованы трудовые бригады для подростков 14-17 лет через ГКУ «Среднеканский центр занятости населения». В летний период трудоустроено 83 подростка, из них 46 находятся в трудной жизненной ситуации. Трудоустройство несовершеннолетних осуществлялось в соответствии с нормами законодательства, предусмотренными для данной категории граждан. На временное трудоустройство из районного бюджета было выделено 1 351,8 тыс. рублей. </w:t>
      </w:r>
    </w:p>
    <w:p w14:paraId="7EB66E45">
      <w:pPr>
        <w:pStyle w:val="4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Кроме отдыха на территории нашего района, большую роль в проведении оздоровительной кампании играет организация отдыха и за его пределами. Всего за пределами округа в лагерях отдохнули 18 человек, из них 10 человек отдохнули в лагерях Магаданской области, в лагерях Краснодарского и Хабаровского краев, Иркутской области отдохнули 8 человек. </w:t>
      </w:r>
    </w:p>
    <w:p w14:paraId="351B74EE">
      <w:pPr>
        <w:pStyle w:val="4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Общее количество детей, охваченных организованными формами отдыха, оздоровления и занятости составило 235 человек за две смены (79% от общего количества школьников в округе).</w:t>
      </w:r>
    </w:p>
    <w:p w14:paraId="6669F17D">
      <w:pPr>
        <w:pStyle w:val="4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 лагерях было предоставлено 2-х разовое питание и 3-х разовое питание для детей начальных классов. Анализ работы по организации отдыха детей, находящихся в трудной жизненной ситуации, показал, что оздоровление является одной из самых эффективных форм оказания государственной социальной помощи и поддержки. Всего оздоровлено 92 ребенка, находящихся в трудной жизненной ситуации. </w:t>
      </w:r>
    </w:p>
    <w:p w14:paraId="3723A085">
      <w:pPr>
        <w:pStyle w:val="4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 районе на протяжении ряда лет активно развиваются малозатратные формы организация отдыха и занятости детей. В качестве дополнительных мер по организации досуга и занятости детей учреждениями культуры в рамках Плана работы с летними оздоровительными лагерями были организованы и проведены разноплановые мероприятия: конкурсы, игры, викторины, познавательные программы, экскурсионные и патриотические мероприятия, в которых приняли участие школьники летних лагерей. Важным направлением в укреплении здоровья детей и подростков является организация физкультурно-массовой работы. В летний период проведены районные спартакиады: 1 июня в рамках «Года семьи», «Эстафета памяти», посвященная Дню памяти и скорби, спартакиада летних оздоровительных лагерей. В вечернее время все плоскостные сооружения спортивной школы, общеобразовательных школ открыты для всех желающих. </w:t>
      </w:r>
    </w:p>
    <w:p w14:paraId="2DF2E6AB">
      <w:pPr>
        <w:pStyle w:val="4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Для создания безопасных условий отдыха детей, лагеря тесно сотрудничали со службами Отд МВД, МЧС, Пожнадзора и Роспотребнадзора, больницей. В рамках Акции «Безопасное лето 2024» были проведены мероприятия и экскурсии в учреждения округа. Совместно с ГИБДД прошел районный конкурс «Светофор». За всеми лагерями закреплены сотрудники Отд МВД по Среднеканскому району. В первую неделю обеих смен в лагерях были проведены Декады безопасности с привлечением сотрудников Отд МВД, ГИБДД, МЧС, Пожарной части, медицинских работников. Проведены тренировки с практической отработкой действий обслуживающего персонала и детей по эвакуации, умению пользоваться первичными средствами пожаротушения, инструктажи о мерах пожарной безопасности. </w:t>
      </w:r>
    </w:p>
    <w:p w14:paraId="34E619DC">
      <w:pPr>
        <w:pStyle w:val="4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Финансирование летней оздоровительной кампании осуществлялось из областного и местного бюджетов. Общий объем финансирования составил 5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 </w:t>
      </w:r>
      <w:r>
        <w:rPr>
          <w:rFonts w:hint="default" w:ascii="Times New Roman" w:hAnsi="Times New Roman" w:cs="Times New Roman"/>
          <w:sz w:val="28"/>
          <w:szCs w:val="28"/>
        </w:rPr>
        <w:t>092 тыс. рублей в лагерях дневного пребывания, из них 2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 </w:t>
      </w:r>
      <w:r>
        <w:rPr>
          <w:rFonts w:hint="default" w:ascii="Times New Roman" w:hAnsi="Times New Roman" w:cs="Times New Roman"/>
          <w:sz w:val="28"/>
          <w:szCs w:val="28"/>
        </w:rPr>
        <w:t>059  тыс. рублей выделено из регионального бюджета, 3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 </w:t>
      </w:r>
      <w:r>
        <w:rPr>
          <w:rFonts w:hint="default" w:ascii="Times New Roman" w:hAnsi="Times New Roman" w:cs="Times New Roman"/>
          <w:sz w:val="28"/>
          <w:szCs w:val="28"/>
        </w:rPr>
        <w:t>033 тыс. рублей из местного бюджета.</w:t>
      </w:r>
    </w:p>
    <w:p w14:paraId="0B013161">
      <w:pPr>
        <w:pStyle w:val="4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 организации оздоровительной кампании были задействованы около 40 педагогических работников, работников здравоохранения, учреждений культуры. </w:t>
      </w:r>
    </w:p>
    <w:p w14:paraId="6824A4A5">
      <w:pPr>
        <w:pStyle w:val="4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Средства, выделенные на программу «Лето» освоены в полном объёме.</w:t>
      </w:r>
    </w:p>
    <w:p w14:paraId="56E9CFC4">
      <w:pPr>
        <w:pStyle w:val="4"/>
        <w:ind w:firstLine="567"/>
        <w:jc w:val="both"/>
        <w:rPr>
          <w:rFonts w:hint="default" w:ascii="Times New Roman" w:hAnsi="Times New Roman" w:cs="Times New Roman"/>
          <w:bCs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Д</w:t>
      </w:r>
      <w:r>
        <w:rPr>
          <w:rFonts w:hint="default" w:ascii="Times New Roman" w:hAnsi="Times New Roman" w:cs="Times New Roman"/>
          <w:bCs/>
          <w:sz w:val="28"/>
          <w:szCs w:val="28"/>
        </w:rPr>
        <w:t>еятельность ЛОЛ с дневным пребыванием детей осуществлялась по программе в рамках Года Семьи и патриотического воспитания «Хранители традиций» совместно с планами мероприятий учреждений культуры, спорта и учреждений, обеспечивающих безопасность на территории Среднеканского муниципального округа. Целью таких программ является приобщение детей к изучению истории родного края, его экологии, исследовательской деятельности, получение практических знаний в области сохранения и  укрепления здоровья, формирование мотивации здорового образа жизни у детей и подростков. Большое внимание уделялось патриотическому воспитанию, раскрытию творческого и интеллектуального потенциала ребенка, умению общаться, разрешать конфликтные ситуации, освоению способов безопасной жизнедеятельности.</w:t>
      </w:r>
    </w:p>
    <w:p w14:paraId="039FC4F4">
      <w:pPr>
        <w:ind w:firstLine="840" w:firstLineChars="3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Подводя итоги работы летней оздоровительной кампании, нужно отметить, что в результате совместной работы всех заинтересованных служб, организаций и учреждений, в районе сохранены положительные тенденции в сфере отдыха, оздоровления и занятости детей и молодежи, достигнутые в предыдущие годы. 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BD2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2024-09-06T13:44:27Z</dcterms:created>
  <dc:creator>Acer</dc:creator>
  <cp:lastModifiedBy>Acer</cp:lastModifiedBy>
  <dcterms:modified xsi:type="dcterms:W3CDTF">2024-09-06T13:46:30Z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534E3D8E065D4570B50E3825B0DA1B19_12</vt:lpwstr>
  </property>
</Properties>
</file>