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913" w:rsidRPr="00581913" w:rsidRDefault="00581913" w:rsidP="00581913">
      <w:pPr>
        <w:autoSpaceDE w:val="0"/>
        <w:autoSpaceDN w:val="0"/>
        <w:adjustRightInd w:val="0"/>
        <w:spacing w:after="0" w:line="310" w:lineRule="atLeast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bookmarkStart w:id="0" w:name="_GoBack"/>
      <w:r w:rsidRPr="00581913">
        <w:rPr>
          <w:rFonts w:ascii="Times New Roman" w:hAnsi="Times New Roman" w:cs="Times New Roman"/>
          <w:b/>
          <w:bCs/>
          <w:caps/>
          <w:color w:val="000000"/>
          <w:sz w:val="32"/>
          <w:szCs w:val="32"/>
        </w:rPr>
        <w:t>ОТЧЕТНЫЙ ДОКЛАД Главы Администрации Среднеканского городского округа О.Н. Герасимовой «Об итогах работы Администрации Среднеканского городского округа в 2019 году и задачах на 2020 год»</w:t>
      </w:r>
      <w:bookmarkEnd w:id="0"/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Уважаемые жители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913">
        <w:rPr>
          <w:rFonts w:ascii="Times New Roman" w:hAnsi="Times New Roman" w:cs="Times New Roman"/>
          <w:b/>
          <w:bCs/>
          <w:sz w:val="28"/>
          <w:szCs w:val="28"/>
        </w:rPr>
        <w:t>Среднеканского городского округа!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В соответствии с законодательством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органы местного самоуправления ежегодно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отчитываются об итогах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социально-экономического развития своей территории. Для Администрации Среднеканского городского округа это давно уже не только обязанность, но и потребность сверить свои действия с мнением жителей, обсудить совместно планы на будущее.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 Администрация округа – это тот орган власти, который решает самые насущные, самые близкие и часто встречающиеся повседневные проблемы своих жителей. Именно поэтому местное самоуправление должно эффективно отвечать на все вопросы, которые существуют у населения. И успех преобразований, происходящих в районе, во многом зависит от нашей совместной работы и от доверия друг к другу – доверия людей к власти и наоборот власти к людям.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 Главными задачами в работе Администрации остается исполнение полномочий в соответствии с Федеральным Законом № 131 «Об общих принципах организации местного самоуправления в РФ», Уставом муниципального образования «Среднеканский городской округ» и другими федеральными и областными правовыми актами.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 Это, прежде всего: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исполнение бюджета Среднеканского городского округа;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обеспечение бесперебойной работы учреждений образования, здравоохранения, культуры, жилищно-коммунального хозяйства;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благоустройство территорий населенных пунктов, развитие инфраструктуры, обеспечение </w:t>
      </w:r>
      <w:proofErr w:type="spellStart"/>
      <w:proofErr w:type="gramStart"/>
      <w:r w:rsidRPr="00581913">
        <w:rPr>
          <w:rFonts w:ascii="Times New Roman" w:hAnsi="Times New Roman" w:cs="Times New Roman"/>
          <w:sz w:val="28"/>
          <w:szCs w:val="28"/>
        </w:rPr>
        <w:t>жизне-деятельности</w:t>
      </w:r>
      <w:proofErr w:type="spellEnd"/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взаимодействие с организациями всех форм собственности с целью развития Среднеканского городского округа;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отдельные государственные полномочия, переданные на районный уровень, которые включают в себя важнейшие сферы жизнедеятельности района, напрямую отражающие интересы наших жителей.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sz w:val="28"/>
          <w:szCs w:val="28"/>
        </w:rPr>
        <w:t>Исполнение бюджета Среднеканского городского округа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Реализация полномочий органов местного </w:t>
      </w:r>
      <w:proofErr w:type="spellStart"/>
      <w:proofErr w:type="gramStart"/>
      <w:r w:rsidRPr="00581913">
        <w:rPr>
          <w:rFonts w:ascii="Times New Roman" w:hAnsi="Times New Roman" w:cs="Times New Roman"/>
          <w:sz w:val="28"/>
          <w:szCs w:val="28"/>
        </w:rPr>
        <w:t>самоуправ-ления</w:t>
      </w:r>
      <w:proofErr w:type="spellEnd"/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в полной мере зависит от обеспеченности финансами. Местный бюджет по доходам в 2019 году исполнен на 98,3%. За отчетный период в бюджет поступило доходов в сумме 436,7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руб., в том числе собственных доходов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– 103,2 млн руб.,</w:t>
      </w:r>
      <w:r w:rsidRPr="00581913">
        <w:rPr>
          <w:rFonts w:ascii="Times New Roman" w:hAnsi="Times New Roman" w:cs="Times New Roman"/>
          <w:sz w:val="28"/>
          <w:szCs w:val="28"/>
        </w:rPr>
        <w:t xml:space="preserve"> что составляет 23,6% от общей суммы доходов. Основными источниками </w:t>
      </w:r>
      <w:r w:rsidRPr="00581913">
        <w:rPr>
          <w:rFonts w:ascii="Times New Roman" w:hAnsi="Times New Roman" w:cs="Times New Roman"/>
          <w:sz w:val="28"/>
          <w:szCs w:val="28"/>
        </w:rPr>
        <w:lastRenderedPageBreak/>
        <w:t>собственных доходов остаются налог на доходы физических лиц, налоги на совокупный доход, доходы от использования имущества, находящегося в государственной и муниципальной собственности.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Удельный вес налога на доходы физических лиц в структуре доходов бюджета составляет 87,4%. Поступление налога на доходы физических лиц в бюджет в 2019 году составило 90,1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руб., что на 1,7 млн рублей выше запланированного. План по данному источнику доходов исполнен на 102%. Удельный вес налога на совокупный доход в структуре налоговых доходов составляет 4,2%. Поступление данного налога в 2019 году составило 4,3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руб., что на 0,9 млн. руб. меньше запланированного. План по данному источнику доходов исполнен на 83,4%. Среди неналоговых доходов наибольший удельный вес занимают доходы от использования имущества, находящегося в </w:t>
      </w:r>
      <w:proofErr w:type="spellStart"/>
      <w:proofErr w:type="gramStart"/>
      <w:r w:rsidRPr="00581913">
        <w:rPr>
          <w:rFonts w:ascii="Times New Roman" w:hAnsi="Times New Roman" w:cs="Times New Roman"/>
          <w:sz w:val="28"/>
          <w:szCs w:val="28"/>
        </w:rPr>
        <w:t>государствен-ной</w:t>
      </w:r>
      <w:proofErr w:type="spellEnd"/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и муниципальной собственности. В 2019 году поступление по данному источнику доходов составило 2,54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руб. или 118% от уточненного плана.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Финансовое положение Среднеканского района остается сложным и определяется высокой зависимостью от поступлений финансовой помощи из бюджета Магаданской области. В связи с этим наибольший удельный вес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– это 76,4% – в доходной части местного бюджета занимают безвозмездные поступления. По итогам 2019 года исполнение расходных обязательств составило 446,1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руб. или 97,4% к уточненному плану.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Поскольку местный бюджет имеет социальную направленность, основными статьями расходов являются: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расходы на образование – 38 % в общем объеме расходов;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расходы на ЖКХ – 13,3 %;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расходы на культуру и средства массовой информации – 8 %;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расходы на развитие физической культуры и спорта – 4,3 %;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расходы на социальную политику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– 1,3 %.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Согласно действующему бюджетному законодательству, в 2019 году расходы бюджета осуществлялись в рамках утвержденных 23 муниципальных программ. На реализацию мероприятий данных программ было израсходовано 446 103,74 тыс. рублей, то есть 98% от общего объема расходов местного бюджета.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sz w:val="28"/>
          <w:szCs w:val="28"/>
        </w:rPr>
        <w:t>Демография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Население, его динамика и возрастная структура являются важнейшими социально-экономическими показателями. На протяжении ряда лет численность постоянного населения в районе уменьшается. Это объясняется миграцией и естественной убылью населения. По данным статистики на 01 января 2020 года численность населения Среднеканского городского округа составила 2083 человека, что составляет 1,5% от численности населения Магаданской области.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За 2019 год родилось 10 человек, что на 8 человек меньше по сравнению с 2018 годом. В 2019 году умерло 45 человек. Количество умерших в районе за 2018 год составило 30 человек.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lastRenderedPageBreak/>
        <w:t xml:space="preserve">Демографические процессы района характеризуются тенденцией увеличения доли граждан старших возрастов в экономически активном населении трудоспособного возраста. 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sz w:val="28"/>
          <w:szCs w:val="28"/>
        </w:rPr>
        <w:t>Занятость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Уровень регистрируемой безработицы в 2019 году составил 2,18%, что на 0,09% ниже, чем в 2018 году. За отчетный период в центр занятости населения за содействием в трудоустройстве обратилось 135 человек, что на 1,1% меньше, чем в аналогичном периоде прошлого года (2018 г.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– 151чел.). Профессиональная структура свободных рабочих мест на 01.01.2020 года сохранила тенденцию значительного преобладания спроса на следующие специальности: водитель автомобиля различных категорий, подсобный рабочий, дворник, уборщик служебных помещений, младший воспитатель, воспитатель дошкольных учреждений, некоторые специальности врачей, бухгалтер.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В 2019 году шла реализация программы «Содействие временной занятости безработных граждан муниципального образования «Среднеканский городской округ». Финансирование мероприятий составило 475,2 тыс. рублей. Организовано и проведено 4 ярмарки вакансий учебных и рабочих мест. Создано 69 временных рабочих мест, в том числе: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для проведения общественных работ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– 12 человек;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для трудоустройства граждан, испытывающих трудности в поиске работы, что позволяет повысить уровень мотивации безработных граждан к труду – 5 человек;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для трудоустройства несовершеннолетних граждан от 14 до 18 лет – 49 человек;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для предпринимателей, открывших свое дело, – 3 человека.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«Старшее поколение» в 2019 году было обучено 5 человек.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sz w:val="28"/>
          <w:szCs w:val="28"/>
        </w:rPr>
        <w:t>Труд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Благосостояние населения напрямую связано с уровнем заработной платы. Поэтому вопросы повышения средней заработной платы, своевременности ее выплаты находятся на постоянном контроле. Среднемесячная заработная плата в целом по району за 2019 год по крупным и средним организациям составила 89052,8 руб., темп роста по данному показателю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– 107,1 % к соответствующему периоду 2018 года.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sz w:val="28"/>
          <w:szCs w:val="28"/>
        </w:rPr>
        <w:t>Экономика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Безусловно, основой экономического производства района является добыча драгоценных металлов. На территории Среднеканского района осуществляют деятельность 30 предприятий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недропользователей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 xml:space="preserve">, которые имеют 68 лицензий на право пользования недрами. В 2019 году было добыто 15,5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 xml:space="preserve"> серебра и 3446 кг золота, в том числе: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россыпного золота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– 2040,8кг;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рудного золота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– 1405,2 кг.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Востребованным сектором в экономике района является </w:t>
      </w: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сельское хозяйство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. В этой сфере осуществляют деятельность 7 индивидуальных предпринимателей – глав КФХ и 1 юридическое лицо. Общий объем сбора картофеля и овощей, выращенных в 2019 году, составил 1592 тонны, что ниже уровня 2018 года на 36,4%. На снижение объемов повлияли чрезвычайные ситуации природного характера, а именно: заморозки в июле 2019 года до - 6 градусов, подтопление 45 га площадей в 2-х крестьянско-фермерских хозяйствах.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Производство молока составило 144 тонны.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Производство скота и птицы на убой – 18тонн.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Производство яиц снизилось к уровню 2018 года и составило 124 тыс. штук в связи с прекращением данного вида деятельности КФХ.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 2019 году объем заготовленной древесины 3 субъектами хозяйственной деятельности составил 6000 куб.м., что выше уровня 2018 года на 1,6%.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Жилищно-коммунальная сфера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Одним из жизненно важных вопросов местного значения является организация электро-, тепло-, водоснабжения и водоотведения. В течение 2019 года вопросы подготовки и прохождения отопительного сезона, осуществления завоза топлива на котельные района находились на постоянном контроле Главы Администрации. Выполнение </w:t>
      </w:r>
      <w:proofErr w:type="spellStart"/>
      <w:proofErr w:type="gramStart"/>
      <w:r w:rsidRPr="00581913">
        <w:rPr>
          <w:rFonts w:ascii="Times New Roman" w:hAnsi="Times New Roman" w:cs="Times New Roman"/>
          <w:sz w:val="28"/>
          <w:szCs w:val="28"/>
        </w:rPr>
        <w:t>меропри-ятий</w:t>
      </w:r>
      <w:proofErr w:type="spellEnd"/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по подготовке объектов социальной сферы и инженерной инфраструктуры к работе в осенне-зимний период 2019-2020 гг. осуществлялось в соответствии с утвержденным планом-графиком.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Для комплексного решения задач по подготовке коммунальных объектов к отопительному периоду, а также модернизации данных объектов действует муниципальная программа «Комплексное развитие коммунальной инфраструктуры Среднеканского городского округа на 2018-2020 годы». В рамках реализации данной программы в летний период 2018 года осуществлялась подготовка к отопительному сезону 2019-2020 годов, в ходе которой были выполнены первоочередные работы на всех объектах жизнеобеспечения района.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Отопительный сезон начался своевременно. Паспорт готовности к отопительному периоду получен в установленные сроки.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Для обеспечения бесперебойной работы котельных приобретено 22100,0 тонн угля, из них 20 000,0 тонн угля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Аркагалинского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месторождения для котельной п. Сеймчан и 2100,0 тонн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Зыряновского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месторождения для котельной с. Верхний Сеймчан. По состоянию на 25.12.2019 года запас топлива на складах котельных составлял 2652,0 тонны в п. Сеймчан, обеспеченность 68 суток, и 1708,0 тонн вс. Верхний Сеймчан, обеспеченность 163 суток.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Для подготовки объектов коммунального хозяйства проведены мероприятия по модернизации участка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тепловодомагистральных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сетей от ТВК-4 до ТВК-9 по улице Дзержинского в п. Сеймчан на сумму 17 471 300,00 руб. (работы завершены своевременно, контракт оплачен в полном объеме). Было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приобретено и доставлено следующее оборудование для модернизации котельных: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котел для котельной с. Верхний Сеймчан на сумму 786 780,00 руб.;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- оборудование для модернизации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котлоагрегата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котельной №6 п. Сеймчан на общую сумму 865 327,05 руб.;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теплосчетчик для котельной №6 п. Сеймчан на сумму 344 000,00 руб.;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- оборудование для модернизации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водонасосной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станции п. Сеймчан на сумму 578 800 руб.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Мероприятия проведены на общую сумму 20 046 207,05 рублей, из них 20 000 000,00 руб. – средства особой экономической зоны и 46 207,05 руб. – средства местного бюджета.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Приобретены запасные части и материалы для ремонта котельного оборудования и спецтехники,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тепловодо-магистральных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сетей, а также произведена подготовка к отопительному периоду 2019-2020гг. жилфонда на сумму 11 807 837,79 рублей (1 500 000,00 руб. – средства местного бюджета, 10 307 837,79 руб. – средства МУП «Сеймчан-теплосеть»).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Силами предприятия МУП «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Сеймчантеплосеть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» отремонтированы теплотрассы в п. Сеймчан по ул.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Октябрьская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, д.20, ул.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Лазовская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, д.9-11.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В целях подготовки жилищного фонда к зиме заключено соглашение о предоставлении субсидии МУП «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Сеймчантеплосеть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». За счет средств субсидии предприятием были приобретены материалы для текущего ремонта общедомового имущества.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В настоящее время отопительный сезон проходит в штатном режиме. Неисправности устраняются оперативно, без ограничения подачи тепла потребителю.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Мероприятия по муниципальной программе «Комплексное развитие транспортной инфраструктуры Среднеканского городского округа на 2017-2027 годы» за 2019 год выполнены в части исполнения полномочий по содержанию автомобильных дорог местного значения. На 2019 год с СМУП «Коммунальник» заключено соглашение и предоставлена субсидия в сумме 12 062 939,43 руб.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По вопросу переселения граждан из аварийного жилищного фонда проведена следующая работа.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В 2019 году из федерального и областного бюджетов Среднеканскому городскому округу было выделено 11 762 250,0 рублей.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Финансовые средства направлены на переселение граждан из аварийного жилищного фонда и израсходованы: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на приобретение жилых помещений у лиц, не являющихся застройщиками домов, в которых расположены эти помещения, для предоставления их гражданам, переселяемым из аварийного жилищного фонда. В 2019 году приобретено 11 квартир общей площадью 556,50 кв.м.;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на выплату лицам, в чьей собственности находятся жилые помещения, входящие в аварийный жилищный фонд, с выкупной ценой в соответствии со </w:t>
      </w:r>
      <w:r w:rsidRPr="00581913">
        <w:rPr>
          <w:rFonts w:ascii="Times New Roman" w:hAnsi="Times New Roman" w:cs="Times New Roman"/>
          <w:sz w:val="28"/>
          <w:szCs w:val="28"/>
        </w:rPr>
        <w:lastRenderedPageBreak/>
        <w:t xml:space="preserve">ст. 32 Жилищного кодекса Российской Федерации при условии наличия у таких лиц в собственности других жилых помещений, пригодных для проживания. Так, в 2019 году были выкуплены 7 квартир общей площадью 398,70 кв.м.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1913">
        <w:rPr>
          <w:rFonts w:ascii="Times New Roman" w:hAnsi="Times New Roman" w:cs="Times New Roman"/>
          <w:sz w:val="28"/>
          <w:szCs w:val="28"/>
        </w:rPr>
        <w:t>Переселены из аварийного жилищного фонда общей площадью 761,90 кв.м. 14 семей/26 человек на общую площадь 741,00 кв.м. В связи с расселением граждан и выкупом жилых помещений у собственников жилья 1 многоквартирный дом, расположенный по улице Чкалова, №15 в п. Сеймчан отключен от всех коммуникаций.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В рамках оптимизации муниципального жилого фонда в селе Верхний Сеймчан в 2019 г. переселены 7 семей.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В 2019 году бюджету Среднеканского городского округа была выделена субсидия для реализации мероприятий по восстановлению и модернизации муниципального имущества в размере 1 886 600 рублей. Данные средства были израсходованы на восстановление пустующих </w:t>
      </w:r>
      <w:proofErr w:type="spellStart"/>
      <w:proofErr w:type="gramStart"/>
      <w:r w:rsidRPr="00581913">
        <w:rPr>
          <w:rFonts w:ascii="Times New Roman" w:hAnsi="Times New Roman" w:cs="Times New Roman"/>
          <w:sz w:val="28"/>
          <w:szCs w:val="28"/>
        </w:rPr>
        <w:t>муници-пальных</w:t>
      </w:r>
      <w:proofErr w:type="spellEnd"/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квартир. Были отремонтированы 4 квартиры по следующим адресам: ул. Промышленная, 26, ул. Советская, 6А, 6Б. Жилые помещения после ремонта распределены для переселения из ветхого аварийного фонда специалистов, работающих на предприятиях, учреждениях района.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sz w:val="28"/>
          <w:szCs w:val="28"/>
        </w:rPr>
        <w:t>Архитектура,  градостроительство и благоустройство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За отчетный период изготовлено 29 смет. В рамках реализации муниципальной программы «Благоустройство территории Среднеканского городского округа на 2017-2021годы» выполнены следующие мероприятия: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Установлены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5 детских игровых комплексов с малыми архитектурными формами на дворовых территориях: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ул.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Октябрьская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у домов 14,16;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ул.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Холодченко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 xml:space="preserve">, д.39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с. Верхний Сеймчан;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1913">
        <w:rPr>
          <w:rFonts w:ascii="Times New Roman" w:hAnsi="Times New Roman" w:cs="Times New Roman"/>
          <w:sz w:val="28"/>
          <w:szCs w:val="28"/>
        </w:rPr>
        <w:t>- ул. Советская, д.4, д.6, д.6А, д.6Б, ул. Дзержинского, д.37;</w:t>
      </w:r>
      <w:proofErr w:type="gramEnd"/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ул.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Лазовская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 xml:space="preserve">, д.28;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ул. Северная, д.9.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2. Установлены малые архитектурные формы на 3-х детских игровых площадках на общественных территориях: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ул. Ленина, д.3А;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пер. Клубный, д.4;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ул. Октябрьская, д.20.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3. Подсыпаны песком детские игровые площадки: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 - по ул. Советская, д.6;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 - по ул. Северная, д.9.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4. Собраны и вывезены 202 несанкционированные свалки.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Приобретены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10 контейнеров для сбора ТКО.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6. Обустроены и отремонтированы 6 площадок накопления ТКО в п. Сеймчан по адресам: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ул. Промышленная, д. 16;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ул. Ленина, д. 3;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lastRenderedPageBreak/>
        <w:t>- ул. Октябрьская, д. 16;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ул.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Лазовская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>, д. 28;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ул.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Билибина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>, д. 8;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ул. Северная, д. 1 А.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7. Снесены 3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ветхих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и аварийных дома в п. Сеймчан по адресам: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ул. Николаева, д. 2А, д. 4Б, д.6.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8. Снесены ветхие аварийные хозяйственные постройки: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в районе объездной дороги;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1913">
        <w:rPr>
          <w:rFonts w:ascii="Times New Roman" w:hAnsi="Times New Roman" w:cs="Times New Roman"/>
          <w:sz w:val="28"/>
          <w:szCs w:val="28"/>
        </w:rPr>
        <w:t>- по ул. Советской возле котельной № 6;</w:t>
      </w:r>
      <w:proofErr w:type="gramEnd"/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по улице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Билибина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>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9. Установлено уличное освещение дворовых и общественных территорий в п. Сеймчан: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от ул.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Лазовская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>, д. 27 до ул. Дзержинского, д. 37;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между домами по ул.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Промышленная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, д.16 и пер. Клубный, д. 4.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10. Выполнено устройство проезда к месту отдыха жителей п. Сеймчан (поселковый пляж).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11. Для обеспечения пожарной безопасности проложена минерализованная полоса вокруг населенных пунктов района.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На все мероприятия по благоустройству израсходовано 3 004 932,07 рублей.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sz w:val="28"/>
          <w:szCs w:val="28"/>
        </w:rPr>
        <w:t>Земельные и имущественные отношения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В состав муниципального имущества входят 1006 объектов недвижимости (в том числе 704 объекта казны) и 5052 объекта движимого имущества. Поступления неналоговых доходов в консолидированный бюджет Среднеканского городского округа от использования имущества, находящегося в государственной и муниципальной собственности, за 2019 год составили 2 536,7 тыс. руб., в том числе: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арендная плата за использование земельных участков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– 1 815,43 тыс. руб.;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денежные средства от продажи земельных участков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– 82,2 тыс. руб.;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арендная плата за использование нежилых помещений – 484,95 тыс. руб.;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денежные средства от продажи недвижимого имущества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– 136,8 тыс. руб.;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прочие (коммерческий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 xml:space="preserve"> жилых помещений)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– 17,34 тыс. руб.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В Реестре договоров по использованию муниципального имущества (кроме земли) числится 11 договоров аренды недвижимого имущества и 5 договоров безвозмездного пользования. В Реестре учитываются переданные на условиях аренды земельные участки: 15 договоров относительно земельных участков, расположенных на землях межселенных территорий, и 136 договоров относительно земельных участков из категории земель населенных пунктов.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В 2019 году заключены 5 договоров аренды земельных участков и 13 дополнительных соглашений к договорам аренды земельных участков. Предоставлено 2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участка в безвозмездное пользование по программе «Дальневосточный гектар». В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 xml:space="preserve"> зарегистрировано право муниципальной собственности МО «Среднеканский городской округ» на 9 </w:t>
      </w:r>
      <w:r w:rsidRPr="00581913">
        <w:rPr>
          <w:rFonts w:ascii="Times New Roman" w:hAnsi="Times New Roman" w:cs="Times New Roman"/>
          <w:sz w:val="28"/>
          <w:szCs w:val="28"/>
        </w:rPr>
        <w:lastRenderedPageBreak/>
        <w:t>объектов недвижимости (квартир). Образовано и поставлено на кадастровый учет 5 земельных участков для предоставления КФХ под сенокос.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Система образования в 2019 году была представлена 5 образовательными учреждениями (две школы, два детских сада и одно учреждение дополнительного образования). Численность детей в районе составляет 373 человека, в том числе учащихся школ – 219 человек, воспитанников дошкольных учреждений – 130 человек, неорганизованных детей – 24 человека. Все желающие обеспечены местами в детские сады, очередности нет. Населению оказывается муниципальная услуга в электронном виде по постановке на учет и зачислению в дошкольные учреждения «Электронный детский сад». За отчетный период на учет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поставлены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и зачислены 37 человек. Дополнительное образование получают 153 школьника по 5 направлениям: спортивно-техническое, художественно-эстетическое, туристско-краеведческое, физкультурно-спортивное.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государственной итоговой аттестации 100% выпускников получили документ государственного образца и все поступили в вузы и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ссузы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. Нужно отметить, что наши выпускники третий год подряд показывают хорошие результаты по обязательным предметам. 83% выпускников показали знания по русскому языку по результатам ЕГЭ на уровне 60-87 баллов, 100% по математике на уровне 62-74 балла.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 образовательных организациях трудятся 137 человек, из них 53 педагога. В 2019 году в школы прибыли 4 специалиста (учитель математики и педагог-организатор в школу п. Сеймчан, учитель английского языка и учитель физики в школу с. Верхний Сеймчан). Все педагоги, прибывшие в район, обеспечены служебными жилыми помещениями.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Кадровый состав за 2019 год значительно улучшился благодаря повышению квалификации, совершенствованию процедуры аттестации, прибытию новых специалистов, проведению конкурсов профессионального мастерства, инновационной деятельности, повышению заработной платы. В течение нескольких лет идет интенсивная курсовая подготовка педагогов для обеспечения введения ФГОС нового поколения. План курсовой переподготовки на 2019 год выполнен. Работники образовательных организаций отмечены по итогам работы различными наградами: 2 – федерального, 6 – регионального, 10 – муниципального уровней.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Среднемесячная заработная плата педагогических работников школ и дошкольных учреждений в 2019 году соответствовала установленным индикаторам «дорожной карты» по исполнению Указов Президента РФ и составила: у педагогов школ – 92,6 тыс. рублей, что на 12,2% выше индикатора, педагогов ДОУ – 67,3 тыс. рублей, что на 1,1% выше индикатора, педагогов дополнительного образования – 80,4 тыс. рублей, что выше индикатора на 1,4%.</w:t>
      </w:r>
      <w:proofErr w:type="gramEnd"/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Расходы на образование составили 168,8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рублей, из них 54,3% – расходы на общеобразовательные школы.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Средняя стоимость затрат на содержание ребенка в ДОУ (присмотр и уход) составила 558,95 тыс. рублей, самая высокая в Магаданской области. Доля родительской платы составляет 5,2%. В целях социальной защиты идет адресная поддержка семьям, имеющим детей дошкольного возраста. Освобождены полностью от родительской платы семьи, имеющие детей с ОВЗ, детей из числа КМНС, детей, оставшихся без попечения родителей. Эти затраты компенсировал местный бюджет в размере 115,5 тыс. руб. и областной бюджет в размере 978,5 тыс. руб.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Расходы бюджета 2019 года на 1 обучающегося общеобразовательной школы составили 372,8 тыс. руб., что выше на 25,2% по сравнению с прошлым годом.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Доля учащихся, которым предоставлены современные условия обучения, составляет 90%. Школы обеспечены мебелью, учебным оборудованием и инвентарем. Все обучающиеся имеют возможность пользоваться современной библиотекой,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медиатекой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>, обеспечен выход в Интернет, установлены антивирусные защиты и контент-фильтры. На один компьютер приходится 3 учащихся. Однако скорость работы Интернета крайне низкая, поэтому наши школьники ограничены в участии в онлайн-мероприятиях.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Подготовка образовательных организаций к новому учебному году в 2019 году прошла в полном объеме. Все организации были приняты межведомственной комиссией с хорошей оценкой. На косметические ремонты, замену дверей, окон, ремонт тепло- и водоснабжения, ремонт электрооборудования, замену светильников на энергосберегающие лампы, ремонт кровли, кабинетов, приобретение оборудования, инвентаря и учебников израсходовано более 12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рублей.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 системе образования в 2019 году продолжали реализовываться муниципальные программы «Развитие образования Среднеканского района на 2015-2022 годы», «Развитие молодежной политики на 2016-2021 годы», «Лето». Всего освоено 166,08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рублей, план выполнен на 99,6%.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 2019 году улучшились и качественные, и количественные показатели качества питания: все 100% школьников получают горячие завтраки, двухразовым питанием охвачено 83% школьников начальных классов и 64% учащихся 5-11 классов, все учащиеся 1-9 классов получают бесплатно натуральное молоко местного производителя. Дети из многодетных семей получают возмещение расходов на завтраки, дети-инвалиды и дети с ОВЗ получают двухразовое бесплатное питание. В целях контроля качества питания ежеквартально во всех образовательных организациях проводится мониторинг.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Организация летнего детского отдыха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На базе 4 образовательных учреждений в 2 смены работали летние оздоровительные лагеря с дневным пребыванием детей, функционировали 13 отрядов. В 3-ей смене </w:t>
      </w:r>
      <w:proofErr w:type="spellStart"/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общеобра-зовательные</w:t>
      </w:r>
      <w:proofErr w:type="spellEnd"/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школы на территории поселений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вели работу с неорганизованными детьми. Центром занятости населения было выделено 49 рабочих мест, в течение лета на предприятиях района было трудоустроено через МОГКУ «Среднеканский центр занятости населения» 68 подростков. Дети отдыхали в санаториях и лагерях по направлению Социального центра: в Магаданской области – 25 человек, 2 человека – в Подмосковье. В августе 10 ребят профильной смены «Лето без границ» отдохнули в лагере «Северный Артек». За пределами области отдохнули 3 ребенка в лагере «Океан». Общий охват различными формами труда и отдыха составил 305 детей и подростков.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Реализованы 4 воспитательные программы летнего отдыха. Лучший воспитатель принял участие в областном конкурсе специалистов, организующих летний отдых. В среднем к концу лета получен хороший эффект оздоровления: 92% – высокий, 7,5% – слабый эффект, отсутствие эффекта – 0,5%. </w:t>
      </w:r>
      <w:r w:rsidRPr="00581913">
        <w:rPr>
          <w:rFonts w:ascii="Times New Roman" w:hAnsi="Times New Roman" w:cs="Times New Roman"/>
          <w:color w:val="000000"/>
          <w:spacing w:val="-15"/>
          <w:sz w:val="28"/>
          <w:szCs w:val="28"/>
        </w:rPr>
        <w:t xml:space="preserve">Критериями оценки эффективности оздоровления детей являются рост, масса тела, мышечная сила и жизненная </w:t>
      </w:r>
      <w:r w:rsidRPr="00581913">
        <w:rPr>
          <w:rFonts w:ascii="Times New Roman" w:hAnsi="Times New Roman" w:cs="Times New Roman"/>
          <w:sz w:val="28"/>
          <w:szCs w:val="28"/>
        </w:rPr>
        <w:t>емкость легких, а также уровень заболеваемости.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Культура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Важным вопросом местного значения является создание условий для организации досуга и обеспечения жителей услугами организаций культуры.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МКУК «Среднеканская централизованная библиотечная система»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состоит из 3 библиотек – центральной, детской и филиала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с. Верхний Сеймчан. Основная работа библиотечной системы в 2019 году была направлена на нравственно-социальное ориентирование, гражданско-патриотическое и правовое воспитание, пропаганду здоровья, краеведческую деятельность и проведение «Года театра». Количество посещений увеличилось, целевой показатель, обозначенный в национальном проекте «Культура» на отчетный год, выполнен.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Информационно-массовая, просветительская и культурно-досуговая деятельность среди взрослой аудитории проводилась, в основном, в рамках клубов общения «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Олох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» и «Панорама», кружка рукоделия «Мастерицы», а также для людей с ограниченными возможностями. Всего зарегистрировано  пользователей с ограниченными возможностями в центральной библиотеке – 21, библиотеке с. Верхний Сеймчан – 8. Из 29 пользователей 10 обслуживаются на дому.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Библиотека признана условно доступной. Имеется кнопка вызова персонала, приобретены и размещены на дверях библиотек таблички со шрифтом Брайля. Имеется сайт учреждения с версией для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слабовидящих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. В отчетном году приобретены: специальное устройство для чтения «говорящих книг» и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электронный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ручной 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видеоувеличитель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>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В 2019 году все самые масштабные и значимые события, проходившие в ЦРБ, размещались на сайте. Велась работа по программе «Школа компьютерной грамотности», в которой прошли обучение 19 человек.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lastRenderedPageBreak/>
        <w:t xml:space="preserve">Произведены ремонтные работы читальных залов детской и центральной библиотек, в детской библиотеке установлен навесной потолок и потолочные светодиодные светильники. В центральной библиотеке выполнены ремонт санузла и электротехнические работы с частичной заменой проводки. В подсобном помещении заменены батареи.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Работа </w:t>
      </w: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«МКУК Среднеканская централизованная клубная система»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 2019 году была ориентирована на пропаганду семейных и этнокультурных ценностей, противодействие терроризму, развитие национального самосознания, толерантности, патриотизма, пропаганду антинаркотической направленности.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В 2019 году работа МКУК СЦКС традиционно была направлена на повышение качества общей культуры населения путем вовлечения жителей в свою деятельность. Таким образом, было проведено 11 показов концертной деятельности и 5 театрализованных постановок ДК п. Сеймчан и с. Верхний Сеймчан, 4 творческие выставки, 11 выездов на открытые площадки.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Набор участников художественного творчества в клубных формированиях в сравнении с предыдущим годом вырос на 7%. В 2019 году были запущены проекты «Мир искусств», «Семь нот», «Северное сияние». Анализируя работу прошлого года в сравнении с предыдущим: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охват населения увеличился на 2%;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число участников клубных формирований – на 7%;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количество проведенных культурно массовых мероприятий для населения выросло на 9%.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Важное звено в развитии МКУК СЦКС – это материально-техническая база и ремонтные работы учреждения. В 2019 году было освоено 1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879 тыс. 340 руб., на которые в рамках муниципальной программы (МП) «Развитие культуры в Среднеканском городском округе на 2017-2020 годы» и по разделу программы «Модернизация и укрепление материально-технической базы клубной системы» приобретено: музыкально-техническое оборудование, швейная машина, световая панель, проектный экран, монитор, металлические шкафы, ноутбук для проведения выездных мероприятий, жалюзи и др.; в рамках МП «Гармонизация межэтнических и межкультурных отношений» – национальные сценические костюмы народов Крайнего Севера, инструменты, сувенирная продукция, казачьи костюмы, реквизитные материалы.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программ «Развитие культуры в Среднеканском городском округе на 2017-2020 годы», «Модернизация и укрепление материально-технической базы клубной системы» в учреждениях культуры установлено 11 оконных блоков ПВХ, произведены ремонты уличных систем канализации и холодного водоснабжения, полностью заменено электрооборудование в зрительном зале, выполнен ремонт системы отопления 1 этажа. На ремонт кровли, комнат гигиены, этнографического кабинета и зала бракосочетания (отдел ЗАГС)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использованы 2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рублей в рамках соглашения о социальном партнерстве с ООО «Дюамель».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В районной газете «Новая Колыма. Вести» за отчетный период опубликовано 25 статей, в которых освещались яркие мероприятия, проведенные учреждениями культуры для жителей Среднеканского района.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МКУК «Сеймчанский краеведческий музей»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осуществляет хранение и выставку исторически важных экспонатов краеведческой направленности</w:t>
      </w: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поддерживает культурные связи с земляками, проводит экскурсии для жителей различных возрастов. В течение отчетного периода были подготовлены и проведены 97 тематических и 57 обзорных экскурсий.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Фонд музея насчитывает 13401 единицу хранения. Музей является центром патриотического, нравственного, эстетического воспитания подростков и молодежи. Работники музея работают в тесном контакте со школой п. Сеймчан. В течение 2019 г. велась постоянная работа по обеспечению посещаемости учреждения жителями и гостями района, регулярно проводилась работа по сохранности предметов.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Укрепилась материально-техническая база учреждения. За счет средств местного бюджета было приобретено экспозиционное оборудование. Депутатом Магаданской областной Думы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Донцовым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И.Б. музею подарено чучело снежного барана.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Выполнены следующие запланированные ремонтные работы: ремонт кровли, коридора, электрооборудования, фондохранилищ и помещений. Произведена замена счетчиков, стояков. Установлено новое видеооборудование.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Индикаторы по заработной плате работников учреждений культуры Среднеканского городского округа за 2019 год по сравнению с 2018 годом увеличены на 7,5% и составили 77,2 тыс. руб.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Забота о развитии физической культуры и спорта – важнейшая составляющая в социальной политике.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Физической культурой и спортом занимаются 36% жителей района. Охват детского населения составляет более 70%.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За 2019 год на территории Среднеканского района было организовано и проведено 27 физкультурно-спортивных мероприятий. Спортсмены приняли участие в 9 областных соревнованиях, в том числе по народному жиму и пауэрлифтингу, в Спартакиаде трудящихся Магаданской области (второй этап), по спортивной акробатике, мини-футболу, хоккею с шайбой и в межрайонных соревнованиях по настольному теннису, баскетболу. На территории района проведены межрайонные соревнования по баскетболу и хоккею с шайбой.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На базе общеобразовательной школы п. Сеймчан установлена площадка для приемки норм ГТО. В летний период на базе Спортивной школы п. Сеймчан проводилась летняя оздоровительная кампания.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административном здании Спортивной школы п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.С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еймчан на втором этаже проведен косметический ремонт за счет средств социального партнера «Т- Цемент».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Архивная работа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год архивным отделом осуществлен прием на хранение 103 дел по личному составу при плане 130, 312 единиц хранения постоянного срока хранения при плане 192.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Общее количество фактических посещений пользователями – 60. Посетили архив 18 пользователей, в основном это работники предприятий, учреждений, организаций, ответственные за ведение делопроизводства. В течение года проведено 8 встречных проверок клиентской службой ОПФ (на правах отдела) в Среднеканском районе. Всего в 2019 году использовано при исполнении запросов социально-правового характера, тематических запросов, а также выдано пользователям 7826 единиц хранения.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В течение года на рассмотрение поступили 82 тематических запроса и 1314 обращений социально-правового характера. Все обращения рассмотрены в установленные сроки. По рассмотренным обращениям социально-правового характера выдано 2320 справок.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Отдел ЗАГС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Приоритетными направлениями в работе ЗАГС являлась пропаганда семейных ценностей, работа с жителями п. Сеймчан и с. Верхний Сеймчан, формирование электронной базы данных и работа с архивным фондом.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В 2019 году отделом ЗАГС Администрации Среднеканского городского округа зарегистрировано 96 актовых записей, что на 6 больше, чем в 2018 году. В течение года зарегистрировано: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 - браков – 11;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 - рождений – 10;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 - разводов – 18;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 - смертей – 45;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 - установлений отцовства – 8;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 - перемены имени – 4;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 - усыновлений – 0.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По сравнению с 2018 годом увеличилось количество зарегистрированных смертей, установлений отцовства и перемены имени. Уменьшилось количество зарегистрированных актов записей о рождении, заключении и расторжении брака. Поступило от граждан 14 заявлений о внесении исправлений и изменений в записи актов гражданского состояния. Также гражданам были выданы и высланы справки в количестве 168 штук, как при регистрации рождения и смерти, так и по заявлениям граждан.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Рассмотрено 15 обращений граждан об истребовании документов о государственной регистрации актов гражданского состояния с территории иностранных государств. Проставлено 34 отметки в записи актов гражданского </w:t>
      </w:r>
      <w:r w:rsidRPr="00581913">
        <w:rPr>
          <w:rFonts w:ascii="Times New Roman" w:hAnsi="Times New Roman" w:cs="Times New Roman"/>
          <w:sz w:val="28"/>
          <w:szCs w:val="28"/>
        </w:rPr>
        <w:lastRenderedPageBreak/>
        <w:t xml:space="preserve">состояния. По запросам органов и организаций было выдано 92 справки, 34 извещения об отсутствии актовых записей и 22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копии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а/з. Общее количество выданных документов – 148.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В течение года велась работа по переводу в электронную форму книг государственной регистрации актов гражданского состояния. По состоянию на 01 января 2020 года было оцифровано 9479 актовых записей, что составило 81 % от общего плана на 2019 год.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sz w:val="28"/>
          <w:szCs w:val="28"/>
        </w:rPr>
        <w:t>Организация муниципального управления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В 2019 году муниципальными служащими Администрации Среднеканского городского округа подготовлено постановлений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– 356 (в 2018г. – 312), распоряжений – 450 (в 2018г. – 263). Подготовлено 10 заседаний Собрания представителей Среднеканского городского округа и 46 проектов решений представительного органа.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В отчетный период Главой Администрации регулярно проводились совещания с руководителями предприятий и учреждений.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 xml:space="preserve">На совещаниях рассматривались вопросы: о благоустройстве населенных пунктов, подготовке к отопительному периоду, об участии в региональных и федеральных проектах и программах, проблемных вопросах в работе образовательных организаций и учреждений культуры, о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работе по ликвидации задолженности физических и юридических лиц за поставленные жилищно-коммунальные услуги, о проведении социально</w:t>
      </w:r>
      <w:r w:rsidRPr="00581913">
        <w:rPr>
          <w:rFonts w:ascii="Times New Roman" w:hAnsi="Times New Roman" w:cs="Times New Roman"/>
          <w:sz w:val="28"/>
          <w:szCs w:val="28"/>
        </w:rPr>
        <w:t xml:space="preserve"> значимых мероприятий и районных праздников и др.</w:t>
      </w:r>
      <w:proofErr w:type="gramEnd"/>
    </w:p>
    <w:p w:rsidR="00581913" w:rsidRPr="00581913" w:rsidRDefault="00581913" w:rsidP="00581913">
      <w:pPr>
        <w:autoSpaceDE w:val="0"/>
        <w:autoSpaceDN w:val="0"/>
        <w:adjustRightInd w:val="0"/>
        <w:spacing w:after="0" w:line="198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работы Администрации является противодействие коррупции. Вся работа в данном направлении ориентирована на профилактику коррупционных проявлений. И здесь особая роль отводится прозрачности всех структурных подразделений и муниципальных учреждений, возможности населения быть информированным по вопросам жизнедеятельности района. С руководителями проводятся семинары антикоррупционной направленности, сведения о доходах (расходах) муниципальных служащих и руководителей муниципальных учреждений размещаются в сети Интернет.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В финансово-экономической сфере проводятся проверки надлежащего использования имущества, находящегося в муниципальной собственности, анализ эффективности бюджетных расходов при проведении закупок, осуществляется финансовый </w:t>
      </w:r>
      <w:proofErr w:type="gramStart"/>
      <w:r w:rsidRPr="0058191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использованием бюджетных средств и другие мероприятия. В 2019 году в Администрацию не поступало обращений от граждан на незаконные действия муниципальных служащих, нарушения муниципальными служащими ограничений и запретов.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В целях внедрения инновационных технологий администрирования, повышающих объективность и способствующих прозрачности нормотворческих и управленческих процессов местного самоуправления Среднеканского городского округа: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обеспечена работа официального сайта;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lastRenderedPageBreak/>
        <w:t xml:space="preserve">- разработаны, утверждены, опубликованы и </w:t>
      </w:r>
      <w:proofErr w:type="spellStart"/>
      <w:proofErr w:type="gramStart"/>
      <w:r w:rsidRPr="00581913">
        <w:rPr>
          <w:rFonts w:ascii="Times New Roman" w:hAnsi="Times New Roman" w:cs="Times New Roman"/>
          <w:sz w:val="28"/>
          <w:szCs w:val="28"/>
        </w:rPr>
        <w:t>разме-щены</w:t>
      </w:r>
      <w:proofErr w:type="spellEnd"/>
      <w:proofErr w:type="gramEnd"/>
      <w:r w:rsidRPr="00581913">
        <w:rPr>
          <w:rFonts w:ascii="Times New Roman" w:hAnsi="Times New Roman" w:cs="Times New Roman"/>
          <w:sz w:val="28"/>
          <w:szCs w:val="28"/>
        </w:rPr>
        <w:t xml:space="preserve"> на сайте административные регламенты предоставления муниципальных услуг;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нормативные правовые акты регулярно публикуются на страницах газеты Среднеканского городского округа «Новая Колыма. Вести» и размещаются на официальном сайте.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Требовательность населения к условиям и качеству жизни, работы растут. Какие же были обращения в 2019 году, как решались вопросы жителей? За отчетный период в Администрацию поступило 76 письменных обращений, 7 обращений через электронную приемную.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Сущность обращений: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· 17– об оказании материальной помощи в тяжелой жизненной ситуации;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· 19 – о предоставлении и выдаче справок;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· 19 – о предоставлении жилья;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· 4 – вопросы здравоохранения;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· 13 – о предоставлении земельных участков в аренду;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· 15 – иные, об уточнении информации, предложения по благоустройству и проведению культурно-массовых мероприятий.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Все обращения были рассмотрены в сроки, установленные законодательством РФ.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регулярно проводился личным прием граждан Главой Администрации, его заместителем, руководителями структурных подразделений. В 2019 году на личном приеме у Главы Администрации побывало более 60 человек.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Эффективным методом работы с обращениями граждан является выездной прием граждан по личным вопросам, который проводился в течение года в селе Верхний Сеймчан. Учет общественного мнения очень важен, особенно если жители сами заявляют о своем желании сообща решать проблемы района.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В соответствии с переданными полномочиями субъекта на муниципальный уровень в районе осуществляют деятельность две комиссии: </w:t>
      </w:r>
      <w:r w:rsidRPr="0058191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административная комиссия и комиссия по делам несовершеннолетних и защите их прав.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За 12 месяцев 2019 года </w:t>
      </w: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административной комиссией Среднеканского городского округа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проведено 6 заседаний, на которых рассмотрены 11 дел об административных правонарушениях, предусмотренных Законом Магаданской области от 15.03.2005 №583-ОЗ «Об административных правонарушениях в Магаданской области». По результатам проведенных заседаний 11 правонарушителей привлечены к административной ответственности, вынесено 2 постановления о назначении административного наказания в виде штрафа на общую сумму 14 000 руб.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По ст. 6.4 «Нарушение правил благоустройства территории поселения (городского округа)» Закона Магаданской области от 15.03.2005 №583-ОЗ «Об административных правонарушениях в Магаданской области» рассмотрено 7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материалов об административных правонарушениях. Из них: 1-му должностному лицу назначен штраф 10 000 рублей, 2 должностных лица понесли наказание в виде предупреждения, 4-м физическим лицам назначено административное наказание в виде предупреждения.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По ст. 3.10 «Нарушение общественного порядка и общественной безопасности при содержании собак» Закона Магаданской области от 15 марта 2005 г. № 583-ОЗ поступило 4 административных материала, по которым должностными лицами органов местного самоуправления составлены протоколы об административном правонарушении и переданы на рассмотрение в административную комиссию Среднеканского городского округа. Двум физическим лицам вынесены административные наказания – предупреждение и административный штраф в размере 4000 рублей.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 силу принятой Магаданской областной Думой статьи 1 Закона Магаданской области «О внесении изменений в Закон Магаданской области «Об административных правонарушениях в Магаданской области»» № 2369-ОЗ от 25.04.2019 г. о признании ст.3.10 Закона Магаданской области утратившей силу, рассмотрение по двум административным материалам было прекращено. </w:t>
      </w:r>
      <w:proofErr w:type="gramEnd"/>
    </w:p>
    <w:p w:rsidR="00581913" w:rsidRPr="00581913" w:rsidRDefault="00581913" w:rsidP="00581913">
      <w:pPr>
        <w:autoSpaceDE w:val="0"/>
        <w:autoSpaceDN w:val="0"/>
        <w:adjustRightInd w:val="0"/>
        <w:spacing w:after="0" w:line="200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С момента утверждения перечня должностных лиц органов местного 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самоуправленияСреднеканского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округа, уполномоченных составлять протоколы об административных правонарушениях (Постановление Администрации Среднеканского городского округа от 18.05.2016г. №167), из Отделения МВД России по Среднеканскому району Магаданской области поступило 7материалов проверки КУСП по ст.3.1.«Нарушение общественного спокойствия граждан» Закона Магаданской области от 15 марта 2005 г. № 583-ОЗ.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По данным материалам должностными лицами органов местного самоуправления составлены протоколы.Все материалы были направлены в суд для рассмотрения, по результатам которого по5-ти материалам правонарушителям вынесены предупреждения; по 2-м материалам назначены штрафы на общую сумму 5000 рублей.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На конец отчетного периода все постановления о назначении административного наказания, рассмотренные членами административной комиссии, в виде штрафа на общую сумму 14 тыс. рублей исполнены добровольно. </w:t>
      </w:r>
    </w:p>
    <w:p w:rsidR="00581913" w:rsidRPr="00581913" w:rsidRDefault="00581913" w:rsidP="00581913">
      <w:pPr>
        <w:tabs>
          <w:tab w:val="left" w:pos="1620"/>
        </w:tabs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12 месяцев 2019 года Комиссией по делам несовершеннолетних и защите их прав Администрации Среднеканского городского округа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Комиссией) проведено 5 заседаний. Вынесено 27 постановлений. Рассмотрено 23 дела об административных правонарушениях, предусмотренных ч.1 ст. 5.35 КоАП РФ, по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результатам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рассмотрения которых назначены 10 штрафов на общую сумму 1600 рублей и 12 предупреждений. Также рассмотрено 2 дела об административном правонарушении, предусмотренном ст. 20.22 КоАП РФ (назначено 2 штрафа на общую сумму 3000 рублей).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 отчетный период Комиссией поставлен на учет 1 несовершеннолетний. Причиной послужило решение Среднеканского суда. 3 несовершеннолетних были сняты с учета в связи с достижением 18-летнего возраста.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На конец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2019 года на учете Комиссии состояли 5 несовершеннолетних.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 муниципальном банке данных о детях и семьях, находящихся в социально опасном положении, состоят 10 семей. 1 семья снята в связи с выбытием из Среднеканского городского округа, 1 семья поставлена на учет в связи с жестоким обращением с ребенком.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В целях предупреждения преступлений и правонарушений несовершеннолетних в течение 2019 года проводились профилактические мероприятия (рейды, акции, профилактические беседы с несовершеннолетними и родителями, лекции и индивидуальные консультации с учащимися общеобразовательных учреждений).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4" w:lineRule="atLeast"/>
        <w:ind w:firstLine="22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Предупреждение чрезвычайных ситуаций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Усилиями служб и организаций района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, входящих в звено единой системы предупреждения и ликвидации чрезвычайных ситуаций, в 2019 году была проделана следующая работа: подготовлены и проведены 10 заседаний Комиссии по чрезвычайным ситуациям и пожарной безопасности Среднеканского городского округа, на которых рассмотрены 15 значимых вопросов. На одном из заседаний введён режим чрезвычайной ситуации (в связи с отсутствием в августе 2019 г. электроснабжения в Среднеканском городском округе).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Проведены 4 заседания комиссии по безопасности дорожного движения, на которых рассмотрены 10 вопросов. В целях снижения количества ДТП с пострадавшими на дорогах в 2019 году разработана и утверждена муниципальная программа «Формирование законопослушного поведения участников дорожного движения на территории муниципального образования «Среднеканский городской округ» на 2019 – 2022 годы».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В целях повышения уровня антитеррористической защищенности населения и территории Среднеканского городского округа усилия антитеррористической комиссии в отчетный период были сосредоточены на решении следующих задач: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 реализация комплекса мер по обеспечению безопасности в период подготовки и проведения значимых праздничных и других массовых мероприятий;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 повышение качества информационно-пропагандистской работы с населением в сфере противодействия идеологии терроризма и экстремизма.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Проведены 6 заседаний антитеррористической комиссии, рассмотрены 17 вопросов по различной тематике.</w:t>
      </w:r>
      <w:proofErr w:type="gramEnd"/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Проведено 45 тренировок с личным составом с оперативно-диспетчерским составом центра управления кризисных ситуаций главного управления МЧС России по Магаданской области и ЕДДС муниципального образования по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действиям при возникновении чрезвычайных ситуаций природного и техногенного характера, и 4 штабные тренировки с КЧС и ПБ муниципального образования по ликвидации Ч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C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>, связанных: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с весенним половодьем;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с природными пожарами;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с авариями на транспорте;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с землетрясением.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В Среднеканском районе осуществляет деятельность ДНД «</w:t>
      </w:r>
      <w:proofErr w:type="spell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Среднекан</w:t>
      </w:r>
      <w:proofErr w:type="spellEnd"/>
      <w:r w:rsidRPr="00581913">
        <w:rPr>
          <w:rFonts w:ascii="Times New Roman" w:hAnsi="Times New Roman" w:cs="Times New Roman"/>
          <w:color w:val="000000"/>
          <w:sz w:val="28"/>
          <w:szCs w:val="28"/>
        </w:rPr>
        <w:t>». Численный состав ДНД – 14 человек. Члены ДНД участвуют в обеспечении правопорядка в общественных местах, в профилактической работе с лицами, склонными к совершению правонарушений, оказывают содействие правоохранительным органам в предупреждении и пресечении правонарушений и преступлений, участвуют в иных мероприятиях, связанных с охраной общественного порядка.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Задачи на 2020 год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Администрация Среднеканского городского округа прилагает немало усилий для решения важных, текущих и наболевших проблем. В 2020 году необходимо решить следующие важные для района задачи: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- обеспечить создание благоприятного инвестиционного климата для потенциальных инвесторов, оказывать всевозможное содействие субъектам малого и среднего предпринимательства, осуществляющим деятельность на территории района;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обеспечить стабильное поступление доходов в местный бюджет, в том числе от эффективного управления и распоряжения муниципальным имуществом;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своевременно организовать и провести конкурсные процедуры по закупке оборудования, материалов, проведению работ по подготовке коммунального хозяйства к работе в зимних условиях;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продолжить работу по содействию коммунальным предприятиям района в деятельности по взысканию задолженности с юридических и физических лиц за предоставленные услуги;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- с целью обеспечения жителей с. Верхний Сеймчан качественной питьевой водой завершить работы по установке оборудования для водоподготовки на резервной водозаборной скважине </w:t>
      </w:r>
      <w:proofErr w:type="gramStart"/>
      <w:r w:rsidRPr="00581913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 с. Верхний Сеймчан;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продолжить работы по расселению жителей из ветхого и аварийного жилья в соответствии с планом расселения. Продолжить снос брошенных ветхих и аварийных строений;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 xml:space="preserve">- продолжить работы по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восстановлению и модернизации жилых помещений муниципального жилищного фонда;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продолжить работы по благоустройству детских площадок и стадиона п. Сеймчан;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приложить все усилия по недопущению объявления на территории округа чрезвычайных ситуаций, в том числе природного характера, вызванного сезонным паводком;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- продолжить практику проведения выездных ярмарок выходного дня с увеличением количества привлеченных производителей продукции местного производства;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- с участием </w:t>
      </w:r>
      <w:r w:rsidRPr="00581913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Pr="00581913">
        <w:rPr>
          <w:rFonts w:ascii="Times New Roman" w:hAnsi="Times New Roman" w:cs="Times New Roman"/>
          <w:sz w:val="28"/>
          <w:szCs w:val="28"/>
        </w:rPr>
        <w:t>РусГидро</w:t>
      </w:r>
      <w:proofErr w:type="spellEnd"/>
      <w:r w:rsidRPr="00581913">
        <w:rPr>
          <w:rFonts w:ascii="Times New Roman" w:hAnsi="Times New Roman" w:cs="Times New Roman"/>
          <w:sz w:val="28"/>
          <w:szCs w:val="28"/>
        </w:rPr>
        <w:t xml:space="preserve">» приступить к организации строительства нового здания 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>Центра культурного развития в п. Сеймчан;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в рамках реализации национального проекта оказывать активное содействие в строительстве физкультурно-оздоровительного комплекса в п. Сеймчан;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продолжить работу по сохранению и увеличению объемов спонсорской помощи району предприятиями золотодобычи в рамках социального партнерства;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провести запланированные ремонтные работы в учреждениях образования, культуры и спорта Среднеканского района;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>- продолжить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 активизировать работу с молодежью через организацию патриотических, спортивных и культурно-досуговых формирований;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sz w:val="28"/>
          <w:szCs w:val="28"/>
        </w:rPr>
        <w:t>-</w:t>
      </w: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держать на постоянном контроле вопросы демографии, экологического благополучия территории населенных пунктов.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Заключение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Уважаемые коллеги и земляки! Завершился еще один год. Не все, но многое нам удалось достичь и сделать. Поэтому я хочу еще раз поблагодарить всех жителей района, руководителей предприятий и организаций, индивидуальных предпринимателей, депутатов, социальных партнеров, а также Правительство Магаданской области за оказанную поддержку во всех направлениях социально-экономического развития территории. Наше тесное взаимодействие – это залог успешного развития Среднеканского района.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Определяя задачи на 2020 год, важно понимать, что необходимо, прежде всего, сохранить благоприятную социально-экономическую и общественно-политическую ситуацию. Нам предстоит в этом году пройти через важные для общества события: внесение изменений в Конституцию Российской Федерации, выборы депутатов Собрания представителей Среднеканского городского округа и Магаданской областной Думы.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Мы продолжим работу, направленную на достижение стратегических ориентиров социально-экономического развития района, главным из которых является повышение уровня и качества жизни жителей.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t xml:space="preserve">Нельзя не вспомнить и о том, что 2020 год – год Памяти и славы, 75-летия Победы в Великой Отечественной войне. Наша задача – провести все праздничные мероприятия на достойном, высоком уровне. </w:t>
      </w:r>
    </w:p>
    <w:p w:rsidR="00581913" w:rsidRPr="00581913" w:rsidRDefault="00581913" w:rsidP="00581913">
      <w:pPr>
        <w:autoSpaceDE w:val="0"/>
        <w:autoSpaceDN w:val="0"/>
        <w:adjustRightInd w:val="0"/>
        <w:spacing w:after="0" w:line="202" w:lineRule="atLeast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913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Завершить хочу словами Президента Российской Федерации: «Вместе, сообща мы обязательно изменим жизнь к лучшему, потому что верю: успех определяет наша добрая воля к развитию, достижению самых смелых планов. Наш труд – во имя своей семьи, своих близких, детей, их будущего, а значит, ради величия России, ради достоинства ее граждан».</w:t>
      </w:r>
    </w:p>
    <w:p w:rsidR="00950233" w:rsidRPr="00581913" w:rsidRDefault="00950233">
      <w:pPr>
        <w:rPr>
          <w:sz w:val="28"/>
          <w:szCs w:val="28"/>
        </w:rPr>
      </w:pPr>
    </w:p>
    <w:sectPr w:rsidR="00950233" w:rsidRPr="00581913" w:rsidSect="00EB0BE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F40C77"/>
    <w:rsid w:val="000A12EA"/>
    <w:rsid w:val="00581913"/>
    <w:rsid w:val="00950233"/>
    <w:rsid w:val="00BD6222"/>
    <w:rsid w:val="00F40C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9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99"/>
    <w:qFormat/>
    <w:rsid w:val="00581913"/>
    <w:pPr>
      <w:autoSpaceDE w:val="0"/>
      <w:autoSpaceDN w:val="0"/>
      <w:adjustRightInd w:val="0"/>
      <w:spacing w:line="302" w:lineRule="atLeast"/>
      <w:ind w:left="720"/>
    </w:pPr>
    <w:rPr>
      <w:rFonts w:ascii="Times New Roman" w:hAnsi="Times New Roman" w:cs="Times New Roman"/>
      <w:color w:val="000000"/>
    </w:rPr>
  </w:style>
  <w:style w:type="paragraph" w:customStyle="1" w:styleId="ConsNonformat">
    <w:name w:val="ConsNonformat"/>
    <w:uiPriority w:val="99"/>
    <w:rsid w:val="00581913"/>
    <w:pPr>
      <w:autoSpaceDE w:val="0"/>
      <w:autoSpaceDN w:val="0"/>
      <w:adjustRightInd w:val="0"/>
      <w:spacing w:after="0" w:line="240" w:lineRule="auto"/>
      <w:ind w:right="19760"/>
    </w:pPr>
    <w:rPr>
      <w:rFonts w:ascii="Times New Roman" w:hAnsi="Times New Roman" w:cs="Times New Roman"/>
      <w:color w:val="000000"/>
      <w:sz w:val="20"/>
      <w:szCs w:val="20"/>
    </w:rPr>
  </w:style>
  <w:style w:type="paragraph" w:styleId="a5">
    <w:name w:val="Title"/>
    <w:basedOn w:val="a"/>
    <w:next w:val="a"/>
    <w:link w:val="a6"/>
    <w:uiPriority w:val="99"/>
    <w:qFormat/>
    <w:rsid w:val="00581913"/>
    <w:pPr>
      <w:autoSpaceDE w:val="0"/>
      <w:autoSpaceDN w:val="0"/>
      <w:adjustRightInd w:val="0"/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Название Знак"/>
    <w:basedOn w:val="a0"/>
    <w:link w:val="a5"/>
    <w:uiPriority w:val="99"/>
    <w:rsid w:val="00581913"/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rsid w:val="00581913"/>
    <w:pPr>
      <w:autoSpaceDE w:val="0"/>
      <w:autoSpaceDN w:val="0"/>
      <w:adjustRightInd w:val="0"/>
      <w:spacing w:after="60" w:line="240" w:lineRule="auto"/>
      <w:ind w:left="60" w:right="60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Plain Text"/>
    <w:basedOn w:val="a"/>
    <w:link w:val="a9"/>
    <w:uiPriority w:val="99"/>
    <w:rsid w:val="005819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9">
    <w:name w:val="Текст Знак"/>
    <w:basedOn w:val="a0"/>
    <w:link w:val="a8"/>
    <w:uiPriority w:val="99"/>
    <w:rsid w:val="00581913"/>
    <w:rPr>
      <w:rFonts w:ascii="Times New Roman" w:hAnsi="Times New Roman" w:cs="Times New Roman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9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99"/>
    <w:qFormat/>
    <w:rsid w:val="00581913"/>
    <w:pPr>
      <w:autoSpaceDE w:val="0"/>
      <w:autoSpaceDN w:val="0"/>
      <w:adjustRightInd w:val="0"/>
      <w:spacing w:line="302" w:lineRule="atLeast"/>
      <w:ind w:left="720"/>
    </w:pPr>
    <w:rPr>
      <w:rFonts w:ascii="Times New Roman" w:hAnsi="Times New Roman" w:cs="Times New Roman"/>
      <w:color w:val="000000"/>
    </w:rPr>
  </w:style>
  <w:style w:type="paragraph" w:customStyle="1" w:styleId="ConsNonformat">
    <w:name w:val="ConsNonformat"/>
    <w:uiPriority w:val="99"/>
    <w:rsid w:val="00581913"/>
    <w:pPr>
      <w:autoSpaceDE w:val="0"/>
      <w:autoSpaceDN w:val="0"/>
      <w:adjustRightInd w:val="0"/>
      <w:spacing w:after="0" w:line="240" w:lineRule="auto"/>
      <w:ind w:right="19760"/>
    </w:pPr>
    <w:rPr>
      <w:rFonts w:ascii="Times New Roman" w:hAnsi="Times New Roman" w:cs="Times New Roman"/>
      <w:color w:val="000000"/>
      <w:sz w:val="20"/>
      <w:szCs w:val="20"/>
    </w:rPr>
  </w:style>
  <w:style w:type="paragraph" w:styleId="a5">
    <w:name w:val="Title"/>
    <w:basedOn w:val="a"/>
    <w:next w:val="a"/>
    <w:link w:val="a6"/>
    <w:uiPriority w:val="99"/>
    <w:qFormat/>
    <w:rsid w:val="00581913"/>
    <w:pPr>
      <w:autoSpaceDE w:val="0"/>
      <w:autoSpaceDN w:val="0"/>
      <w:adjustRightInd w:val="0"/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Название Знак"/>
    <w:basedOn w:val="a0"/>
    <w:link w:val="a5"/>
    <w:uiPriority w:val="99"/>
    <w:rsid w:val="00581913"/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rsid w:val="00581913"/>
    <w:pPr>
      <w:autoSpaceDE w:val="0"/>
      <w:autoSpaceDN w:val="0"/>
      <w:adjustRightInd w:val="0"/>
      <w:spacing w:after="60" w:line="240" w:lineRule="auto"/>
      <w:ind w:left="60" w:right="60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Plain Text"/>
    <w:basedOn w:val="a"/>
    <w:link w:val="a9"/>
    <w:uiPriority w:val="99"/>
    <w:rsid w:val="005819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9">
    <w:name w:val="Текст Знак"/>
    <w:basedOn w:val="a0"/>
    <w:link w:val="a8"/>
    <w:uiPriority w:val="99"/>
    <w:rsid w:val="00581913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7075</Words>
  <Characters>40329</Characters>
  <Application>Microsoft Office Word</Application>
  <DocSecurity>0</DocSecurity>
  <Lines>336</Lines>
  <Paragraphs>94</Paragraphs>
  <ScaleCrop>false</ScaleCrop>
  <Company>Microsoft</Company>
  <LinksUpToDate>false</LinksUpToDate>
  <CharactersWithSpaces>47310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Economika</cp:lastModifiedBy>
  <cp:revision>2</cp:revision>
  <dcterms:created xsi:type="dcterms:W3CDTF">2020-04-27T22:41:00Z</dcterms:created>
  <dcterms:modified xsi:type="dcterms:W3CDTF">2020-04-27T22:41:00Z</dcterms:modified>
</cp:coreProperties>
</file>